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bookmarkStart w:id="0" w:name="block-75223288"/>
      <w:r w:rsidRPr="007D4693">
        <w:rPr>
          <w:rFonts w:ascii="Times New Roman" w:eastAsia="Calibri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b/>
          <w:color w:val="000000"/>
          <w:lang w:val="ru-RU"/>
        </w:rPr>
        <w:t xml:space="preserve">Министерство образования и науки РСО-Алания 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b/>
          <w:color w:val="000000"/>
          <w:lang w:val="ru-RU"/>
        </w:rPr>
        <w:t>г. Владикавказ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b/>
          <w:color w:val="000000"/>
          <w:lang w:val="ru-RU"/>
        </w:rPr>
        <w:t>МБОУ СОШ №15 имени Героя Советстского Союза Мильдзихова Х.З.</w:t>
      </w:r>
    </w:p>
    <w:p w:rsidR="007D4693" w:rsidRPr="007D4693" w:rsidRDefault="0071761B" w:rsidP="007D4693">
      <w:pPr>
        <w:rPr>
          <w:lang w:val="ru-RU"/>
        </w:rPr>
      </w:pPr>
      <w:r>
        <w:rPr>
          <w:lang w:val="ru-RU"/>
        </w:rPr>
        <w:t xml:space="preserve"> </w:t>
      </w:r>
    </w:p>
    <w:p w:rsidR="007D4693" w:rsidRPr="007D4693" w:rsidRDefault="007D4693" w:rsidP="007D4693">
      <w:pPr>
        <w:rPr>
          <w:lang w:val="ru-RU"/>
        </w:rPr>
      </w:pPr>
      <w:r w:rsidRPr="007D4693">
        <w:rPr>
          <w:lang w:val="ru-RU"/>
        </w:rPr>
        <w:t xml:space="preserve"> </w:t>
      </w:r>
    </w:p>
    <w:p w:rsidR="007D4693" w:rsidRPr="007D4693" w:rsidRDefault="007D4693" w:rsidP="007D4693">
      <w:pPr>
        <w:rPr>
          <w:lang w:val="ru-RU"/>
        </w:rPr>
      </w:pPr>
      <w:r w:rsidRPr="007D4693">
        <w:rPr>
          <w:lang w:val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7D4693" w:rsidTr="007D4693"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7D4693" w:rsidRPr="007D4693" w:rsidRDefault="007D4693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РАССМОТРЕНА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 xml:space="preserve">МО учителей ________________________ </w:t>
            </w:r>
          </w:p>
          <w:p w:rsidR="007D4693" w:rsidRPr="007D4693" w:rsidRDefault="007D4693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Бестаева Н.Я.</w:t>
            </w:r>
          </w:p>
          <w:p w:rsid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Приказ № </w:t>
            </w:r>
          </w:p>
          <w:p w:rsid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«__» __   2025 г.</w:t>
            </w:r>
          </w:p>
          <w:p w:rsidR="007D4693" w:rsidRDefault="007D4693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СОГЛАСОВАНА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D4693" w:rsidRPr="007D4693" w:rsidRDefault="007D4693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Дмитриева Т.В.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Приказ №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от «__» __</w:t>
            </w:r>
            <w:r w:rsidRPr="007D4693">
              <w:rPr>
                <w:rFonts w:ascii="Cambria Math" w:hAnsi="Cambria Math" w:cs="Cambria Math"/>
                <w:color w:val="000000"/>
                <w:lang w:val="ru-RU"/>
              </w:rPr>
              <w:t>↵</w:t>
            </w:r>
            <w:r w:rsidRPr="007D4693">
              <w:rPr>
                <w:rFonts w:ascii="Times New Roman" w:hAnsi="Times New Roman"/>
                <w:color w:val="000000"/>
                <w:lang w:val="ru-RU"/>
              </w:rPr>
              <w:t xml:space="preserve">   2025 г.</w:t>
            </w:r>
          </w:p>
          <w:p w:rsidR="007D4693" w:rsidRPr="007D4693" w:rsidRDefault="007D4693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УТВЕРЖДЕНА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Директор школы</w:t>
            </w:r>
          </w:p>
          <w:p w:rsidR="007D4693" w:rsidRP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7D4693" w:rsidRPr="007D4693" w:rsidRDefault="007D4693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>Дулаева М.У.</w:t>
            </w:r>
          </w:p>
          <w:p w:rsid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7D469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Приказ №</w:t>
            </w:r>
          </w:p>
          <w:p w:rsidR="007D4693" w:rsidRDefault="007D4693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«__» __   2025 г.</w:t>
            </w:r>
          </w:p>
          <w:p w:rsidR="007D4693" w:rsidRDefault="007D4693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7D4693" w:rsidRDefault="007D4693" w:rsidP="007D4693">
      <w:pPr>
        <w:rPr>
          <w:rFonts w:ascii="Calibri" w:hAnsi="Calibri"/>
        </w:rPr>
      </w:pPr>
      <w:r>
        <w:t xml:space="preserve"> </w:t>
      </w:r>
    </w:p>
    <w:p w:rsidR="007D4693" w:rsidRDefault="007D4693" w:rsidP="007D4693">
      <w:r>
        <w:t xml:space="preserve"> </w:t>
      </w:r>
    </w:p>
    <w:p w:rsidR="007D4693" w:rsidRDefault="007D4693" w:rsidP="007D4693"/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b/>
          <w:color w:val="000000"/>
          <w:lang w:val="ru-RU"/>
        </w:rPr>
        <w:t>РАБОЧАЯ ПРОГРАММА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color w:val="000000"/>
          <w:lang w:val="ru-RU"/>
        </w:rPr>
        <w:t>(</w:t>
      </w:r>
      <w:r>
        <w:rPr>
          <w:rFonts w:ascii="Times New Roman" w:eastAsia="Calibri" w:hAnsi="Times New Roman"/>
          <w:color w:val="000000"/>
        </w:rPr>
        <w:t>ID</w:t>
      </w:r>
      <w:r w:rsidRPr="007D4693">
        <w:rPr>
          <w:rFonts w:ascii="Times New Roman" w:eastAsia="Calibri" w:hAnsi="Times New Roman"/>
          <w:color w:val="000000"/>
          <w:lang w:val="ru-RU"/>
        </w:rPr>
        <w:t xml:space="preserve"> 8745214)</w:t>
      </w:r>
    </w:p>
    <w:p w:rsidR="007D4693" w:rsidRPr="007D4693" w:rsidRDefault="007D4693" w:rsidP="007D4693">
      <w:pPr>
        <w:jc w:val="center"/>
        <w:rPr>
          <w:lang w:val="ru-RU"/>
        </w:rPr>
      </w:pPr>
      <w:r w:rsidRPr="007D4693">
        <w:rPr>
          <w:lang w:val="ru-RU"/>
        </w:rPr>
        <w:t xml:space="preserve"> 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b/>
          <w:color w:val="000000"/>
          <w:lang w:val="ru-RU"/>
        </w:rPr>
        <w:t>учебного предмета «История»</w:t>
      </w:r>
    </w:p>
    <w:p w:rsidR="007D4693" w:rsidRPr="007D4693" w:rsidRDefault="007D4693" w:rsidP="007D4693">
      <w:pPr>
        <w:spacing w:line="408" w:lineRule="auto"/>
        <w:jc w:val="center"/>
        <w:rPr>
          <w:lang w:val="ru-RU"/>
        </w:rPr>
      </w:pPr>
      <w:r w:rsidRPr="007D4693">
        <w:rPr>
          <w:rFonts w:ascii="Times New Roman" w:eastAsia="Calibri" w:hAnsi="Times New Roman"/>
          <w:color w:val="000000"/>
          <w:lang w:val="ru-RU"/>
        </w:rPr>
        <w:t xml:space="preserve">для обучающихся 8 классов </w:t>
      </w:r>
      <w:r w:rsidRPr="007D4693">
        <w:rPr>
          <w:lang w:val="ru-RU"/>
        </w:rPr>
        <w:t xml:space="preserve"> </w:t>
      </w:r>
    </w:p>
    <w:p w:rsidR="007D4693" w:rsidRDefault="007D4693" w:rsidP="007D4693">
      <w:pPr>
        <w:rPr>
          <w:lang w:val="ru-RU"/>
        </w:rPr>
      </w:pPr>
      <w:r w:rsidRPr="007D4693">
        <w:rPr>
          <w:lang w:val="ru-RU"/>
        </w:rPr>
        <w:t xml:space="preserve"> </w:t>
      </w:r>
      <w:r w:rsidR="00E57D4B">
        <w:rPr>
          <w:lang w:val="ru-RU"/>
        </w:rPr>
        <w:t xml:space="preserve"> </w:t>
      </w:r>
    </w:p>
    <w:p w:rsidR="00E57D4B" w:rsidRPr="007D4693" w:rsidRDefault="00E57D4B" w:rsidP="007D4693">
      <w:pPr>
        <w:rPr>
          <w:lang w:val="ru-RU"/>
        </w:rPr>
      </w:pPr>
    </w:p>
    <w:p w:rsidR="007D4693" w:rsidRPr="007D4693" w:rsidRDefault="007D4693" w:rsidP="007D4693">
      <w:pPr>
        <w:jc w:val="center"/>
        <w:rPr>
          <w:lang w:val="ru-RU"/>
        </w:rPr>
      </w:pPr>
      <w:bookmarkStart w:id="1" w:name="_GoBack"/>
      <w:r w:rsidRPr="007D4693">
        <w:rPr>
          <w:rFonts w:ascii="Times New Roman" w:eastAsia="Calibri" w:hAnsi="Times New Roman"/>
          <w:b/>
          <w:color w:val="000000"/>
          <w:lang w:val="ru-RU"/>
        </w:rPr>
        <w:t>Владикавказ 202</w:t>
      </w:r>
      <w:r>
        <w:rPr>
          <w:rFonts w:ascii="Times New Roman" w:eastAsia="Calibri" w:hAnsi="Times New Roman"/>
          <w:b/>
          <w:color w:val="000000"/>
          <w:lang w:val="ru-RU"/>
        </w:rPr>
        <w:t>5</w:t>
      </w:r>
    </w:p>
    <w:bookmarkEnd w:id="1"/>
    <w:p w:rsidR="00AB7329" w:rsidRPr="007D7A12" w:rsidRDefault="00AB7329">
      <w:pPr>
        <w:spacing w:after="0"/>
        <w:ind w:left="120"/>
        <w:rPr>
          <w:lang w:val="ru-RU"/>
        </w:rPr>
      </w:pPr>
    </w:p>
    <w:p w:rsidR="00AB7329" w:rsidRPr="007D7A12" w:rsidRDefault="00AB7329">
      <w:pPr>
        <w:rPr>
          <w:lang w:val="ru-RU"/>
        </w:rPr>
        <w:sectPr w:rsidR="00AB7329" w:rsidRPr="007D7A12">
          <w:pgSz w:w="11906" w:h="16383"/>
          <w:pgMar w:top="1134" w:right="850" w:bottom="1134" w:left="1701" w:header="720" w:footer="720" w:gutter="0"/>
          <w:cols w:space="720"/>
        </w:sect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bookmarkStart w:id="2" w:name="block-75223294"/>
      <w:bookmarkEnd w:id="0"/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B7329" w:rsidRDefault="007D46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B7329" w:rsidRPr="007D7A12" w:rsidRDefault="007D4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B7329" w:rsidRPr="007D7A12" w:rsidRDefault="007D4693">
      <w:pPr>
        <w:numPr>
          <w:ilvl w:val="0"/>
          <w:numId w:val="1"/>
        </w:numPr>
        <w:spacing w:after="0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B7329" w:rsidRPr="007D7A12" w:rsidRDefault="007D4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B7329" w:rsidRPr="007D7A12" w:rsidRDefault="007D4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B7329" w:rsidRPr="007D7A12" w:rsidRDefault="007D46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Default="007D4693">
      <w:pPr>
        <w:spacing w:after="0" w:line="264" w:lineRule="auto"/>
        <w:ind w:left="120"/>
        <w:jc w:val="both"/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AB7329" w:rsidRDefault="00AB7329">
      <w:pPr>
        <w:sectPr w:rsidR="00AB7329">
          <w:pgSz w:w="11906" w:h="16383"/>
          <w:pgMar w:top="1134" w:right="850" w:bottom="1134" w:left="1701" w:header="720" w:footer="720" w:gutter="0"/>
          <w:cols w:space="720"/>
        </w:sect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bookmarkStart w:id="3" w:name="block-75223292"/>
      <w:bookmarkEnd w:id="2"/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B7329" w:rsidRPr="007D7A12" w:rsidRDefault="00AB7329" w:rsidP="007D7A12">
      <w:pPr>
        <w:spacing w:after="0" w:line="264" w:lineRule="auto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D7A1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D7A1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>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>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7D7A12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7D7A12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D7A12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D7A12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D7A1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7D7A12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7D7A12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AB7329">
      <w:pPr>
        <w:rPr>
          <w:lang w:val="ru-RU"/>
        </w:rPr>
        <w:sectPr w:rsidR="00AB7329" w:rsidRPr="007D7A12">
          <w:pgSz w:w="11906" w:h="16383"/>
          <w:pgMar w:top="1134" w:right="850" w:bottom="1134" w:left="1701" w:header="720" w:footer="720" w:gutter="0"/>
          <w:cols w:space="720"/>
        </w:sect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bookmarkStart w:id="4" w:name="block-75223293"/>
      <w:bookmarkEnd w:id="3"/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D7A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B7329" w:rsidRPr="007D7A12" w:rsidRDefault="00AB7329">
      <w:pPr>
        <w:spacing w:after="0"/>
        <w:ind w:left="120"/>
        <w:rPr>
          <w:lang w:val="ru-RU"/>
        </w:rPr>
      </w:pPr>
    </w:p>
    <w:p w:rsidR="00AB7329" w:rsidRPr="007D7A12" w:rsidRDefault="007D4693">
      <w:pPr>
        <w:spacing w:after="0"/>
        <w:ind w:left="120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B7329" w:rsidRPr="007D7A12" w:rsidRDefault="007D4693">
      <w:pPr>
        <w:spacing w:after="0" w:line="264" w:lineRule="auto"/>
        <w:ind w:firstLine="60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7329" w:rsidRDefault="00AB7329" w:rsidP="007D7A12">
      <w:pPr>
        <w:spacing w:after="0" w:line="264" w:lineRule="auto"/>
        <w:jc w:val="both"/>
      </w:pPr>
    </w:p>
    <w:p w:rsidR="00AB7329" w:rsidRDefault="007D469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B7329" w:rsidRDefault="00AB7329">
      <w:pPr>
        <w:spacing w:after="0" w:line="264" w:lineRule="auto"/>
        <w:ind w:left="120"/>
        <w:jc w:val="both"/>
      </w:pP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B7329" w:rsidRPr="007D7A12" w:rsidRDefault="007D469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B7329" w:rsidRPr="007D7A12" w:rsidRDefault="007D469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B7329" w:rsidRPr="007D7A12" w:rsidRDefault="007D46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B7329" w:rsidRPr="007D7A12" w:rsidRDefault="007D469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B7329" w:rsidRDefault="007D46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B7329" w:rsidRPr="007D7A12" w:rsidRDefault="007D469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B7329" w:rsidRDefault="007D46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B7329" w:rsidRPr="007D7A12" w:rsidRDefault="007D46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B7329" w:rsidRPr="007D7A12" w:rsidRDefault="007D46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B7329" w:rsidRPr="007D7A12" w:rsidRDefault="007D469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B7329" w:rsidRDefault="007D46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B7329" w:rsidRPr="007D7A12" w:rsidRDefault="007D46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B7329" w:rsidRPr="007D7A12" w:rsidRDefault="007D46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B7329" w:rsidRPr="007D7A12" w:rsidRDefault="007D46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B7329" w:rsidRPr="007D7A12" w:rsidRDefault="007D469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B7329" w:rsidRPr="007D7A12" w:rsidRDefault="007D4693">
      <w:pPr>
        <w:spacing w:after="0" w:line="264" w:lineRule="auto"/>
        <w:ind w:left="120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B7329" w:rsidRPr="007D7A12" w:rsidRDefault="007D469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B7329" w:rsidRDefault="007D469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B7329" w:rsidRPr="007D7A12" w:rsidRDefault="007D46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B7329" w:rsidRPr="007D7A12" w:rsidRDefault="007D469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7A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D7A1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B7329" w:rsidRPr="007D7A12" w:rsidRDefault="00AB7329">
      <w:pPr>
        <w:spacing w:after="0" w:line="264" w:lineRule="auto"/>
        <w:ind w:left="120"/>
        <w:jc w:val="both"/>
        <w:rPr>
          <w:lang w:val="ru-RU"/>
        </w:rPr>
      </w:pPr>
    </w:p>
    <w:p w:rsidR="00AB7329" w:rsidRPr="007D7A12" w:rsidRDefault="00AB7329">
      <w:pPr>
        <w:rPr>
          <w:lang w:val="ru-RU"/>
        </w:rPr>
        <w:sectPr w:rsidR="00AB7329" w:rsidRPr="007D7A12">
          <w:pgSz w:w="11906" w:h="16383"/>
          <w:pgMar w:top="1134" w:right="850" w:bottom="1134" w:left="1701" w:header="720" w:footer="720" w:gutter="0"/>
          <w:cols w:space="720"/>
        </w:sectPr>
      </w:pPr>
    </w:p>
    <w:p w:rsidR="00AB7329" w:rsidRDefault="007D4693">
      <w:pPr>
        <w:spacing w:after="0"/>
        <w:ind w:left="120"/>
      </w:pPr>
      <w:bookmarkStart w:id="5" w:name="block-75223289"/>
      <w:bookmarkEnd w:id="4"/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7329" w:rsidRDefault="007D469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B73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329" w:rsidRDefault="00AB7329">
            <w:pPr>
              <w:spacing w:after="0"/>
              <w:ind w:left="135"/>
            </w:pPr>
          </w:p>
        </w:tc>
      </w:tr>
      <w:tr w:rsidR="00AB7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</w:tr>
      <w:tr w:rsidR="00AB73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329" w:rsidRDefault="00AB7329"/>
        </w:tc>
      </w:tr>
      <w:tr w:rsidR="00AB7329" w:rsidRPr="007D7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329" w:rsidRDefault="00AB7329"/>
        </w:tc>
      </w:tr>
      <w:tr w:rsidR="00AB7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329" w:rsidRDefault="00AB7329"/>
        </w:tc>
      </w:tr>
    </w:tbl>
    <w:p w:rsidR="00AB7329" w:rsidRDefault="00AB7329">
      <w:pPr>
        <w:sectPr w:rsidR="00AB7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329" w:rsidRDefault="007D4693">
      <w:pPr>
        <w:spacing w:after="0"/>
        <w:ind w:left="120"/>
      </w:pPr>
      <w:bookmarkStart w:id="6" w:name="block-7522329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B7329" w:rsidRDefault="007D46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AB732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329" w:rsidRDefault="00AB7329">
            <w:pPr>
              <w:spacing w:after="0"/>
              <w:ind w:left="135"/>
            </w:pPr>
          </w:p>
        </w:tc>
      </w:tr>
      <w:tr w:rsidR="00AB7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329" w:rsidRDefault="00AB7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29" w:rsidRDefault="00AB7329"/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 w:rsidRPr="007D7A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3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B7329" w:rsidRDefault="00AB7329">
            <w:pPr>
              <w:spacing w:after="0"/>
              <w:ind w:left="135"/>
            </w:pPr>
          </w:p>
        </w:tc>
      </w:tr>
      <w:tr w:rsidR="00AB7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29" w:rsidRPr="007D7A12" w:rsidRDefault="007D4693">
            <w:pPr>
              <w:spacing w:after="0"/>
              <w:ind w:left="135"/>
              <w:rPr>
                <w:lang w:val="ru-RU"/>
              </w:rPr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 w:rsidRPr="007D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B7329" w:rsidRDefault="007D4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29" w:rsidRDefault="00AB7329"/>
        </w:tc>
      </w:tr>
    </w:tbl>
    <w:p w:rsidR="00AB7329" w:rsidRDefault="00AB7329">
      <w:pPr>
        <w:sectPr w:rsidR="00AB7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329" w:rsidRPr="007D7A12" w:rsidRDefault="007D4693">
      <w:pPr>
        <w:spacing w:after="0"/>
        <w:ind w:left="120"/>
        <w:rPr>
          <w:lang w:val="ru-RU"/>
        </w:rPr>
      </w:pPr>
      <w:bookmarkStart w:id="7" w:name="block-75223291"/>
      <w:bookmarkEnd w:id="6"/>
      <w:r w:rsidRPr="007D7A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7329" w:rsidRPr="007D7A12" w:rsidRDefault="007D4693">
      <w:pPr>
        <w:spacing w:after="0" w:line="480" w:lineRule="auto"/>
        <w:ind w:left="120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D7A12" w:rsidRPr="007D7A12" w:rsidRDefault="007D7A12" w:rsidP="007D7A12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Всеобщая история. История Нового времени. 8 класс: учеб. для общеобразоват. организаций / [А.Я. Юдовская и др.]; под ред. А.А. Искендерова. 2- изд., М.: Просвещение, 2020. – 255 с. </w:t>
      </w:r>
    </w:p>
    <w:p w:rsidR="007D7A12" w:rsidRPr="007D7A12" w:rsidRDefault="007D7A12" w:rsidP="007D7A12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История России. 8 класс. Учеб. для общеобразоват. организаций. В 2. ч. Ч. 1. – 2-е изд., - М.: Просвещение, 2018. – 111 с.</w:t>
      </w:r>
    </w:p>
    <w:p w:rsidR="00AB7329" w:rsidRPr="007D7A12" w:rsidRDefault="007D7A12" w:rsidP="007D7A12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История России. 8 класс. Учеб. для общеобразоват. организаций. В 2. ч. Ч. 2. – 2-е изд., - М.: Просвещение, 2018. – 127 с.</w:t>
      </w:r>
    </w:p>
    <w:p w:rsidR="00AB7329" w:rsidRPr="007D7A12" w:rsidRDefault="00AB7329">
      <w:pPr>
        <w:spacing w:after="0"/>
        <w:ind w:left="120"/>
        <w:rPr>
          <w:lang w:val="ru-RU"/>
        </w:rPr>
      </w:pPr>
    </w:p>
    <w:p w:rsidR="00AB7329" w:rsidRPr="007D7A12" w:rsidRDefault="007D4693" w:rsidP="007D7A12">
      <w:pPr>
        <w:spacing w:after="0" w:line="480" w:lineRule="auto"/>
        <w:ind w:left="120"/>
        <w:rPr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329" w:rsidRPr="007D7A12" w:rsidRDefault="00AB7329">
      <w:pPr>
        <w:spacing w:after="0"/>
        <w:ind w:left="120"/>
        <w:rPr>
          <w:lang w:val="ru-RU"/>
        </w:rPr>
      </w:pPr>
    </w:p>
    <w:p w:rsidR="00AB7329" w:rsidRDefault="007D4693" w:rsidP="007D7A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D7A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8" w:name="_Hlk492801934"/>
      <w:bookmarkEnd w:id="8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Федеральный портал «Российское образование»: </w:t>
      </w:r>
      <w:bookmarkStart w:id="9" w:name="_Hlk492801846"/>
      <w:bookmarkStart w:id="10" w:name="_Hlk492802221"/>
      <w:bookmarkEnd w:id="9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http</w:t>
      </w:r>
      <w:bookmarkEnd w:id="10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// www. </w:t>
      </w:r>
      <w:bookmarkStart w:id="11" w:name="_Hlk492801899"/>
      <w:bookmarkEnd w:id="11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edu. ru.Российский общеобразовательный портал: </w:t>
      </w:r>
      <w:bookmarkStart w:id="12" w:name="_Hlk492802018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http: // www. </w:t>
      </w:r>
      <w:bookmarkStart w:id="13" w:name="_Hlk492802270"/>
      <w:bookmarkEnd w:id="12"/>
      <w:bookmarkEnd w:id="13"/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school. edu. ru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Федеральный портал «Информационно-коммуникативные технологии в образовании»: http: // www. ict. edu. ru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Министерство образования и науки РФ: http: // mon. gov. Ru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Портал Единой коллекции цифровых образовательных ресурсов: http: // school-collection. edu. ru. / Портал компании «Кирилл и Мефодий»: http: // www. km. Ru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Издательства учебной литературы:</w:t>
      </w:r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Издательство «Просвещение»: </w:t>
      </w:r>
      <w:hyperlink r:id="rId85" w:history="1">
        <w:r w:rsidRPr="007D7A12">
          <w:rPr>
            <w:rFonts w:ascii="Times New Roman" w:eastAsia="Calibri" w:hAnsi="Times New Roman" w:cs="Calibri"/>
            <w:color w:val="0563C1"/>
            <w:sz w:val="24"/>
            <w:szCs w:val="24"/>
            <w:u w:val="single"/>
            <w:lang w:val="ru-RU" w:eastAsia="ru-RU"/>
          </w:rPr>
          <w:t>http://www.prosv.ru/</w:t>
        </w:r>
      </w:hyperlink>
    </w:p>
    <w:p w:rsidR="007D7A12" w:rsidRPr="007D7A12" w:rsidRDefault="007D7A12" w:rsidP="007D7A12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D7A1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Издательская фирма «Сентябрь»: </w:t>
      </w:r>
      <w:hyperlink r:id="rId86" w:history="1">
        <w:r w:rsidRPr="007D7A12">
          <w:rPr>
            <w:rFonts w:ascii="Times New Roman" w:eastAsia="Calibri" w:hAnsi="Times New Roman" w:cs="Calibri"/>
            <w:color w:val="0563C1"/>
            <w:sz w:val="24"/>
            <w:szCs w:val="24"/>
            <w:u w:val="single"/>
            <w:lang w:val="ru-RU" w:eastAsia="ru-RU"/>
          </w:rPr>
          <w:t>http://www.september.ru/</w:t>
        </w:r>
      </w:hyperlink>
    </w:p>
    <w:p w:rsidR="00AB7329" w:rsidRPr="007D7A12" w:rsidRDefault="00AB7329">
      <w:pPr>
        <w:rPr>
          <w:lang w:val="ru-RU"/>
        </w:rPr>
        <w:sectPr w:rsidR="00AB7329" w:rsidRPr="007D7A1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D4693" w:rsidRPr="007D7A12" w:rsidRDefault="007D4693">
      <w:pPr>
        <w:rPr>
          <w:lang w:val="ru-RU"/>
        </w:rPr>
      </w:pPr>
    </w:p>
    <w:sectPr w:rsidR="007D4693" w:rsidRPr="007D7A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81A"/>
    <w:multiLevelType w:val="multilevel"/>
    <w:tmpl w:val="30ACB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20393"/>
    <w:multiLevelType w:val="multilevel"/>
    <w:tmpl w:val="81A88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E3DE7"/>
    <w:multiLevelType w:val="multilevel"/>
    <w:tmpl w:val="03D8B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652DF"/>
    <w:multiLevelType w:val="multilevel"/>
    <w:tmpl w:val="E8E06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593E55"/>
    <w:multiLevelType w:val="multilevel"/>
    <w:tmpl w:val="118A2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3F6000"/>
    <w:multiLevelType w:val="multilevel"/>
    <w:tmpl w:val="75D4D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C153C9"/>
    <w:multiLevelType w:val="multilevel"/>
    <w:tmpl w:val="29228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4B3E23"/>
    <w:multiLevelType w:val="multilevel"/>
    <w:tmpl w:val="2C924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F507E1"/>
    <w:multiLevelType w:val="multilevel"/>
    <w:tmpl w:val="F8A69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D60827"/>
    <w:multiLevelType w:val="multilevel"/>
    <w:tmpl w:val="CD4A0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FD3D4A"/>
    <w:multiLevelType w:val="multilevel"/>
    <w:tmpl w:val="E6223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766451"/>
    <w:multiLevelType w:val="multilevel"/>
    <w:tmpl w:val="8DF21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82515"/>
    <w:multiLevelType w:val="multilevel"/>
    <w:tmpl w:val="9FE8F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D9435B"/>
    <w:multiLevelType w:val="multilevel"/>
    <w:tmpl w:val="8460C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A65578"/>
    <w:multiLevelType w:val="multilevel"/>
    <w:tmpl w:val="39607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2C4E95"/>
    <w:multiLevelType w:val="multilevel"/>
    <w:tmpl w:val="D4DC8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4351A1"/>
    <w:multiLevelType w:val="multilevel"/>
    <w:tmpl w:val="A8486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516EFF"/>
    <w:multiLevelType w:val="multilevel"/>
    <w:tmpl w:val="18BA1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36103B"/>
    <w:multiLevelType w:val="multilevel"/>
    <w:tmpl w:val="9C62D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8B44FA"/>
    <w:multiLevelType w:val="multilevel"/>
    <w:tmpl w:val="D9066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B1241E"/>
    <w:multiLevelType w:val="multilevel"/>
    <w:tmpl w:val="A39C4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1506C5"/>
    <w:multiLevelType w:val="multilevel"/>
    <w:tmpl w:val="E280E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3414BF"/>
    <w:multiLevelType w:val="multilevel"/>
    <w:tmpl w:val="2620F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B8109F"/>
    <w:multiLevelType w:val="multilevel"/>
    <w:tmpl w:val="D0AE4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647D4C"/>
    <w:multiLevelType w:val="multilevel"/>
    <w:tmpl w:val="2520B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0D135C"/>
    <w:multiLevelType w:val="multilevel"/>
    <w:tmpl w:val="E2800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1F49B3"/>
    <w:multiLevelType w:val="multilevel"/>
    <w:tmpl w:val="17EAD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20562B"/>
    <w:multiLevelType w:val="multilevel"/>
    <w:tmpl w:val="05305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1A5ACB"/>
    <w:multiLevelType w:val="multilevel"/>
    <w:tmpl w:val="B70A8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40211E"/>
    <w:multiLevelType w:val="multilevel"/>
    <w:tmpl w:val="59CA2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C32046"/>
    <w:multiLevelType w:val="multilevel"/>
    <w:tmpl w:val="92962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D73661"/>
    <w:multiLevelType w:val="multilevel"/>
    <w:tmpl w:val="D30AD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1942B9"/>
    <w:multiLevelType w:val="multilevel"/>
    <w:tmpl w:val="08FAC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B46098"/>
    <w:multiLevelType w:val="multilevel"/>
    <w:tmpl w:val="CECE3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AC549A"/>
    <w:multiLevelType w:val="multilevel"/>
    <w:tmpl w:val="BC745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3417D3"/>
    <w:multiLevelType w:val="multilevel"/>
    <w:tmpl w:val="4F6A2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D026AD"/>
    <w:multiLevelType w:val="multilevel"/>
    <w:tmpl w:val="00262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0D1270"/>
    <w:multiLevelType w:val="multilevel"/>
    <w:tmpl w:val="063A4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6"/>
  </w:num>
  <w:num w:numId="3">
    <w:abstractNumId w:val="37"/>
  </w:num>
  <w:num w:numId="4">
    <w:abstractNumId w:val="20"/>
  </w:num>
  <w:num w:numId="5">
    <w:abstractNumId w:val="16"/>
  </w:num>
  <w:num w:numId="6">
    <w:abstractNumId w:val="0"/>
  </w:num>
  <w:num w:numId="7">
    <w:abstractNumId w:val="1"/>
  </w:num>
  <w:num w:numId="8">
    <w:abstractNumId w:val="3"/>
  </w:num>
  <w:num w:numId="9">
    <w:abstractNumId w:val="15"/>
  </w:num>
  <w:num w:numId="10">
    <w:abstractNumId w:val="31"/>
  </w:num>
  <w:num w:numId="11">
    <w:abstractNumId w:val="33"/>
  </w:num>
  <w:num w:numId="12">
    <w:abstractNumId w:val="18"/>
  </w:num>
  <w:num w:numId="13">
    <w:abstractNumId w:val="8"/>
  </w:num>
  <w:num w:numId="14">
    <w:abstractNumId w:val="4"/>
  </w:num>
  <w:num w:numId="15">
    <w:abstractNumId w:val="12"/>
  </w:num>
  <w:num w:numId="16">
    <w:abstractNumId w:val="27"/>
  </w:num>
  <w:num w:numId="17">
    <w:abstractNumId w:val="29"/>
  </w:num>
  <w:num w:numId="18">
    <w:abstractNumId w:val="28"/>
  </w:num>
  <w:num w:numId="19">
    <w:abstractNumId w:val="35"/>
  </w:num>
  <w:num w:numId="20">
    <w:abstractNumId w:val="30"/>
  </w:num>
  <w:num w:numId="21">
    <w:abstractNumId w:val="25"/>
  </w:num>
  <w:num w:numId="22">
    <w:abstractNumId w:val="19"/>
  </w:num>
  <w:num w:numId="23">
    <w:abstractNumId w:val="9"/>
  </w:num>
  <w:num w:numId="24">
    <w:abstractNumId w:val="13"/>
  </w:num>
  <w:num w:numId="25">
    <w:abstractNumId w:val="7"/>
  </w:num>
  <w:num w:numId="26">
    <w:abstractNumId w:val="23"/>
  </w:num>
  <w:num w:numId="27">
    <w:abstractNumId w:val="17"/>
  </w:num>
  <w:num w:numId="28">
    <w:abstractNumId w:val="24"/>
  </w:num>
  <w:num w:numId="29">
    <w:abstractNumId w:val="5"/>
  </w:num>
  <w:num w:numId="30">
    <w:abstractNumId w:val="6"/>
  </w:num>
  <w:num w:numId="31">
    <w:abstractNumId w:val="2"/>
  </w:num>
  <w:num w:numId="32">
    <w:abstractNumId w:val="14"/>
  </w:num>
  <w:num w:numId="33">
    <w:abstractNumId w:val="34"/>
  </w:num>
  <w:num w:numId="34">
    <w:abstractNumId w:val="36"/>
  </w:num>
  <w:num w:numId="35">
    <w:abstractNumId w:val="11"/>
  </w:num>
  <w:num w:numId="36">
    <w:abstractNumId w:val="10"/>
  </w:num>
  <w:num w:numId="37">
    <w:abstractNumId w:val="22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29"/>
    <w:rsid w:val="002E1C95"/>
    <w:rsid w:val="0071761B"/>
    <w:rsid w:val="007D4693"/>
    <w:rsid w:val="007D7A12"/>
    <w:rsid w:val="00AB7329"/>
    <w:rsid w:val="00C57AD4"/>
    <w:rsid w:val="00E5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DC2C"/>
  <w15:docId w15:val="{A6485A2E-C632-4169-9606-A89D8E7C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1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1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8864c1a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63" Type="http://schemas.openxmlformats.org/officeDocument/2006/relationships/hyperlink" Target="https://m.edsoo.ru/8a18ddc2" TargetMode="External"/><Relationship Id="rId68" Type="http://schemas.openxmlformats.org/officeDocument/2006/relationships/hyperlink" Target="https://m.edsoo.ru/8a18e858" TargetMode="External"/><Relationship Id="rId84" Type="http://schemas.openxmlformats.org/officeDocument/2006/relationships/hyperlink" Target="https://m.edsoo.ru/8a1907f2" TargetMode="External"/><Relationship Id="rId16" Type="http://schemas.openxmlformats.org/officeDocument/2006/relationships/hyperlink" Target="https://m.edsoo.ru/7f418a34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74" Type="http://schemas.openxmlformats.org/officeDocument/2006/relationships/hyperlink" Target="https://m.edsoo.ru/8a18f302" TargetMode="External"/><Relationship Id="rId79" Type="http://schemas.openxmlformats.org/officeDocument/2006/relationships/hyperlink" Target="https://m.edsoo.ru/8a18fbb8" TargetMode="External"/><Relationship Id="rId5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69" Type="http://schemas.openxmlformats.org/officeDocument/2006/relationships/hyperlink" Target="https://m.edsoo.ru/8a18e9d4" TargetMode="External"/><Relationship Id="rId77" Type="http://schemas.openxmlformats.org/officeDocument/2006/relationships/hyperlink" Target="https://m.edsoo.ru/8a18f8ca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f42" TargetMode="External"/><Relationship Id="rId80" Type="http://schemas.openxmlformats.org/officeDocument/2006/relationships/hyperlink" Target="https://m.edsoo.ru/8a18fcf8" TargetMode="External"/><Relationship Id="rId85" Type="http://schemas.openxmlformats.org/officeDocument/2006/relationships/hyperlink" Target="http://www.pros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Relationship Id="rId70" Type="http://schemas.openxmlformats.org/officeDocument/2006/relationships/hyperlink" Target="https://m.edsoo.ru/8a18ebc8" TargetMode="External"/><Relationship Id="rId75" Type="http://schemas.openxmlformats.org/officeDocument/2006/relationships/hyperlink" Target="https://m.edsoo.ru/8a18f4b0" TargetMode="External"/><Relationship Id="rId83" Type="http://schemas.openxmlformats.org/officeDocument/2006/relationships/hyperlink" Target="https://m.edsoo.ru/8a1901ee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73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8a18fa6e" TargetMode="External"/><Relationship Id="rId81" Type="http://schemas.openxmlformats.org/officeDocument/2006/relationships/hyperlink" Target="https://m.edsoo.ru/8a18fe6a" TargetMode="External"/><Relationship Id="rId86" Type="http://schemas.openxmlformats.org/officeDocument/2006/relationships/hyperlink" Target="http://www.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8864d9f4" TargetMode="External"/><Relationship Id="rId34" Type="http://schemas.openxmlformats.org/officeDocument/2006/relationships/hyperlink" Target="https://m.edsoo.ru/8864d418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76" Type="http://schemas.openxmlformats.org/officeDocument/2006/relationships/hyperlink" Target="https://m.edsoo.ru/8a18f668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d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cc0c" TargetMode="External"/><Relationship Id="rId24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66" Type="http://schemas.openxmlformats.org/officeDocument/2006/relationships/hyperlink" Target="https://m.edsoo.ru/8a18e59c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8a18d9e4" TargetMode="External"/><Relationship Id="rId82" Type="http://schemas.openxmlformats.org/officeDocument/2006/relationships/hyperlink" Target="https://m.edsoo.ru/8a19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6501</Words>
  <Characters>37057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2</cp:revision>
  <cp:lastPrinted>2025-09-24T12:49:00Z</cp:lastPrinted>
  <dcterms:created xsi:type="dcterms:W3CDTF">2025-09-24T12:55:00Z</dcterms:created>
  <dcterms:modified xsi:type="dcterms:W3CDTF">2025-09-24T12:55:00Z</dcterms:modified>
</cp:coreProperties>
</file>